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4E0B99">
      <w:pPr>
        <w:framePr w:wrap="auto" w:vAnchor="margin" w:hAnchor="text" w:yAlign="inline"/>
        <w:spacing w:line="300" w:lineRule="auto"/>
        <w:jc w:val="center"/>
        <w:outlineLvl w:val="0"/>
        <w:rPr>
          <w:rFonts w:ascii="宋体" w:hAnsi="宋体" w:eastAsia="宋体" w:cs="宋体"/>
          <w:b/>
          <w:bCs/>
          <w:sz w:val="32"/>
          <w:szCs w:val="32"/>
          <w:lang w:val="zh-TW"/>
        </w:rPr>
      </w:pPr>
      <w:r>
        <w:rPr>
          <w:rFonts w:hint="cs" w:ascii="宋体" w:hAnsi="宋体" w:eastAsia="宋体" w:cs="宋体"/>
          <w:b/>
          <w:bCs/>
          <w:sz w:val="32"/>
          <w:szCs w:val="32"/>
          <w:lang w:val="zh-TW"/>
        </w:rPr>
        <w:t>《</w:t>
      </w:r>
      <w:r>
        <w:rPr>
          <w:rFonts w:ascii="宋体" w:hAnsi="宋体" w:eastAsia="宋体" w:cs="宋体"/>
          <w:b/>
          <w:bCs/>
          <w:sz w:val="32"/>
          <w:szCs w:val="32"/>
          <w:lang w:val="zh-TW"/>
        </w:rPr>
        <w:t>优化营商环境经营主体保护评价指标</w:t>
      </w:r>
      <w:r>
        <w:rPr>
          <w:rFonts w:hint="cs" w:ascii="宋体" w:hAnsi="宋体" w:eastAsia="宋体" w:cs="宋体"/>
          <w:b/>
          <w:bCs/>
          <w:sz w:val="32"/>
          <w:szCs w:val="32"/>
          <w:lang w:val="zh-TW"/>
        </w:rPr>
        <w:t>》</w:t>
      </w:r>
    </w:p>
    <w:p w14:paraId="201FD256">
      <w:pPr>
        <w:framePr w:wrap="auto" w:vAnchor="margin" w:hAnchor="text" w:yAlign="inline"/>
        <w:spacing w:line="300" w:lineRule="auto"/>
        <w:jc w:val="center"/>
        <w:outlineLvl w:val="0"/>
        <w:rPr>
          <w:rFonts w:ascii="宋体" w:hAnsi="宋体" w:eastAsia="宋体" w:cs="宋体"/>
          <w:b/>
          <w:bCs/>
          <w:sz w:val="32"/>
          <w:szCs w:val="32"/>
          <w:lang w:val="zh-TW" w:eastAsia="zh-TW"/>
        </w:rPr>
      </w:pPr>
      <w:r>
        <w:rPr>
          <w:rFonts w:hint="cs" w:ascii="宋体" w:hAnsi="宋体" w:eastAsia="宋体" w:cs="宋体"/>
          <w:b/>
          <w:bCs/>
          <w:sz w:val="32"/>
          <w:szCs w:val="32"/>
          <w:lang w:val="zh-TW" w:eastAsia="zh-TW"/>
        </w:rPr>
        <w:t>团体标准编制说明</w:t>
      </w:r>
    </w:p>
    <w:p w14:paraId="7FD4FA7D">
      <w:pPr>
        <w:framePr w:wrap="auto" w:vAnchor="margin" w:hAnchor="text" w:yAlign="inline"/>
        <w:spacing w:line="300" w:lineRule="auto"/>
        <w:jc w:val="center"/>
        <w:outlineLvl w:val="0"/>
        <w:rPr>
          <w:rFonts w:ascii="宋体" w:hAnsi="宋体" w:eastAsia="宋体" w:cs="宋体"/>
          <w:b/>
          <w:bCs/>
          <w:sz w:val="32"/>
          <w:szCs w:val="32"/>
          <w:lang w:val="zh-TW" w:eastAsia="zh-TW"/>
        </w:rPr>
      </w:pPr>
    </w:p>
    <w:p w14:paraId="289A9807">
      <w:pPr>
        <w:pStyle w:val="13"/>
        <w:keepNext w:val="0"/>
        <w:keepLines w:val="0"/>
        <w:pageBreakBefore w:val="0"/>
        <w:framePr w:wrap="auto" w:vAnchor="margin" w:hAnchor="text" w:yAlign="inline"/>
        <w:numPr>
          <w:ilvl w:val="0"/>
          <w:numId w:val="2"/>
        </w:numPr>
        <w:kinsoku/>
        <w:wordWrap/>
        <w:overflowPunct/>
        <w:topLinePunct w:val="0"/>
        <w:autoSpaceDE/>
        <w:autoSpaceDN/>
        <w:bidi w:val="0"/>
        <w:adjustRightInd/>
        <w:snapToGrid/>
        <w:spacing w:line="360" w:lineRule="auto"/>
        <w:ind w:left="0" w:firstLine="482" w:firstLineChars="200"/>
        <w:textAlignment w:val="auto"/>
        <w:rPr>
          <w:rFonts w:ascii="宋体" w:hAnsi="宋体" w:eastAsia="PMingLiU" w:cs="宋体"/>
          <w:b/>
          <w:bCs/>
          <w:color w:val="auto"/>
          <w:kern w:val="0"/>
          <w:sz w:val="24"/>
          <w:szCs w:val="24"/>
          <w:u w:color="0000FF"/>
          <w:lang w:val="zh-TW" w:eastAsia="zh-TW"/>
        </w:rPr>
      </w:pPr>
      <w:r>
        <w:rPr>
          <w:rFonts w:ascii="宋体" w:hAnsi="宋体" w:eastAsia="宋体" w:cs="宋体"/>
          <w:b/>
          <w:bCs/>
          <w:color w:val="auto"/>
          <w:kern w:val="0"/>
          <w:sz w:val="24"/>
          <w:szCs w:val="24"/>
          <w:u w:color="0000FF"/>
          <w:lang w:val="zh-TW" w:eastAsia="zh-TW"/>
        </w:rPr>
        <w:t>标准项目来源</w:t>
      </w:r>
    </w:p>
    <w:p w14:paraId="4DC71FE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rPr>
        <w:t>由</w:t>
      </w:r>
      <w:bookmarkStart w:id="0" w:name="_Hlk171927699"/>
      <w:r>
        <w:rPr>
          <w:rFonts w:ascii="宋体" w:hAnsi="宋体" w:eastAsia="宋体" w:cs="宋体"/>
          <w:color w:val="auto"/>
          <w:sz w:val="24"/>
          <w:szCs w:val="24"/>
        </w:rPr>
        <w:t>中国国际贸易促进会商业行业委员会营商环境监测中心</w:t>
      </w:r>
      <w:bookmarkEnd w:id="0"/>
      <w:r>
        <w:rPr>
          <w:rFonts w:ascii="宋体" w:hAnsi="宋体" w:eastAsia="宋体" w:cs="宋体"/>
          <w:color w:val="auto"/>
          <w:sz w:val="24"/>
          <w:szCs w:val="24"/>
        </w:rPr>
        <w:t>提出并组织起草本标准，由中国国际贸易促进委员会商业行业委员会归口管理</w:t>
      </w:r>
      <w:r>
        <w:rPr>
          <w:rFonts w:ascii="宋体" w:hAnsi="宋体" w:eastAsia="宋体" w:cs="宋体"/>
          <w:color w:val="auto"/>
          <w:sz w:val="24"/>
          <w:szCs w:val="24"/>
          <w:lang w:val="zh-TW"/>
        </w:rPr>
        <w:t>。</w:t>
      </w:r>
    </w:p>
    <w:p w14:paraId="6B1EE4AF">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二、标准制定的目的和意义</w:t>
      </w:r>
    </w:p>
    <w:p w14:paraId="1B3807A3">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编制目的</w:t>
      </w:r>
    </w:p>
    <w:p w14:paraId="4F89A7A5">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w:t>
      </w:r>
      <w:r>
        <w:rPr>
          <w:rFonts w:ascii="宋体" w:hAnsi="宋体" w:eastAsia="宋体" w:cs="宋体"/>
          <w:color w:val="auto"/>
          <w:sz w:val="24"/>
          <w:szCs w:val="24"/>
        </w:rPr>
        <w:t>推动营商环境优化</w:t>
      </w:r>
    </w:p>
    <w:p w14:paraId="6EF13DF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通过实施该标准，推动各级政府部门、行业协会等加强对经营主体的保护和支持，优化营商环境，提升经营主体的获得感和满意度。</w:t>
      </w:r>
    </w:p>
    <w:p w14:paraId="37E2B1C0">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w:t>
      </w:r>
      <w:r>
        <w:rPr>
          <w:rFonts w:ascii="宋体" w:hAnsi="宋体" w:eastAsia="宋体" w:cs="宋体"/>
          <w:color w:val="auto"/>
          <w:sz w:val="24"/>
          <w:szCs w:val="24"/>
        </w:rPr>
        <w:t>提升经营主体保护水平</w:t>
      </w:r>
    </w:p>
    <w:p w14:paraId="0EC9F330">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hint="default" w:ascii="宋体" w:hAnsi="宋体" w:eastAsia="宋体" w:cs="宋体"/>
          <w:color w:val="auto"/>
          <w:sz w:val="24"/>
          <w:szCs w:val="24"/>
          <w:lang w:val="zh-TW"/>
        </w:rPr>
        <w:t xml:space="preserve"> 通过明确评价指标，促进政府部门、行业协会、企业等各方共同努力，提升经营主体的保护水平，保障其合法权益。</w:t>
      </w:r>
    </w:p>
    <w:p w14:paraId="74832325">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3.</w:t>
      </w:r>
      <w:r>
        <w:rPr>
          <w:rFonts w:hint="default" w:ascii="宋体" w:hAnsi="宋体" w:eastAsia="宋体" w:cs="宋体"/>
          <w:color w:val="auto"/>
          <w:sz w:val="24"/>
          <w:szCs w:val="24"/>
          <w:lang w:val="zh-TW"/>
        </w:rPr>
        <w:t>促进公平竞争</w:t>
      </w:r>
    </w:p>
    <w:p w14:paraId="65E830C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通过制定和实施一系列促进公平竞争的政策措施，我们可以消除不合理壁垒和歧视性待遇，为各类经营主体创造一个公平竞争的市场环境。</w:t>
      </w:r>
    </w:p>
    <w:p w14:paraId="17A56478">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rPr>
        <w:t>编制意义</w:t>
      </w:r>
    </w:p>
    <w:p w14:paraId="3F0C1F5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w:t>
      </w:r>
      <w:r>
        <w:rPr>
          <w:rFonts w:ascii="宋体" w:hAnsi="宋体" w:eastAsia="宋体" w:cs="宋体"/>
          <w:color w:val="auto"/>
          <w:sz w:val="24"/>
          <w:szCs w:val="24"/>
        </w:rPr>
        <w:t>提供制度保障</w:t>
      </w:r>
    </w:p>
    <w:p w14:paraId="4F1A4A7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本标准为法治化营商环境建设中经营主体保护的制度设计、实施及其评价提供了科学、系统的依据，为各地政府和相关机构开展工作提供了明确的指导和规范。</w:t>
      </w:r>
    </w:p>
    <w:p w14:paraId="3EA730C9">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w:t>
      </w:r>
      <w:r>
        <w:rPr>
          <w:rFonts w:ascii="宋体" w:hAnsi="宋体" w:eastAsia="宋体" w:cs="宋体"/>
          <w:color w:val="auto"/>
          <w:sz w:val="24"/>
          <w:szCs w:val="24"/>
        </w:rPr>
        <w:t>推动地方标准制定</w:t>
      </w:r>
    </w:p>
    <w:p w14:paraId="2F077765">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针对特定地区（如自贸区、经济特区、产业园区等）的特殊情况，本标准可作为基础，制定更为具体细化的地方标准或行业标准，以满足不同地区的实际需求，推动地方营商环境的持续优化。</w:t>
      </w:r>
    </w:p>
    <w:p w14:paraId="4C7C388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3.</w:t>
      </w:r>
      <w:r>
        <w:rPr>
          <w:rFonts w:ascii="宋体" w:hAnsi="宋体" w:eastAsia="宋体" w:cs="宋体"/>
          <w:color w:val="auto"/>
          <w:sz w:val="24"/>
          <w:szCs w:val="24"/>
        </w:rPr>
        <w:t>促进经济高质量发展</w:t>
      </w:r>
    </w:p>
    <w:p w14:paraId="54908C65">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rPr>
        <w:t>通过优化营商环境，保障经营主体权益，激发市场活力和创造力，推动经济高质量发展。同时，加强经营主体的法治保护，提升其依法经营、规范管理的意识和能力，促进经济社会的和谐稳定。</w:t>
      </w:r>
    </w:p>
    <w:p w14:paraId="4866EF3C">
      <w:pPr>
        <w:pStyle w:val="13"/>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kern w:val="0"/>
          <w:sz w:val="24"/>
          <w:szCs w:val="24"/>
          <w:u w:color="0000FF"/>
          <w:lang w:val="zh-TW"/>
        </w:rPr>
      </w:pPr>
      <w:r>
        <w:rPr>
          <w:rFonts w:ascii="宋体" w:hAnsi="宋体" w:eastAsia="宋体" w:cs="宋体"/>
          <w:b/>
          <w:bCs/>
          <w:color w:val="auto"/>
          <w:kern w:val="0"/>
          <w:sz w:val="24"/>
          <w:szCs w:val="24"/>
          <w:u w:color="0000FF"/>
          <w:lang w:val="zh-TW"/>
        </w:rPr>
        <w:t>三、标准起草的过程简述</w:t>
      </w:r>
    </w:p>
    <w:p w14:paraId="2FF4A3E5">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（一）预研阶段</w:t>
      </w:r>
    </w:p>
    <w:p w14:paraId="57404C86">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中国国际贸易促进会商业行业委员会营商环境监测中心组织标准编写小组，于2024年2月启动项目需求调研工作，主要调研了湖南、湖北、河南、广西、北京、吉林等相关政府和企业，收集企业满意度领域的企业、政府部门、行业协会等相关方的需求和意见，了解当前企业满意度调查的现状及存在问题。</w:t>
      </w:r>
    </w:p>
    <w:p w14:paraId="58C4A3B2">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组织专家对国内外相关领域的法律法规、政策文件、标准规范等进行收集和分析，为研究制定团体标准提供理论依据和参考。同时进行研讨，明确标准制定的目标、原则、范围和技术要求等。</w:t>
      </w:r>
    </w:p>
    <w:p w14:paraId="0AC8B68A">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（二）立项阶段</w:t>
      </w:r>
    </w:p>
    <w:p w14:paraId="510F7B90">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1.2024年5月由中国贸促会商业行业委员会营商环境监测中心整理资料，向中国国际贸易促进委员会商业行业委员会提交立项申请。</w:t>
      </w:r>
    </w:p>
    <w:p w14:paraId="5A041C53">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w:t>
      </w:r>
      <w:r>
        <w:rPr>
          <w:rFonts w:ascii="宋体" w:hAnsi="宋体" w:eastAsia="宋体" w:cs="宋体"/>
          <w:color w:val="auto"/>
          <w:sz w:val="24"/>
          <w:szCs w:val="24"/>
          <w:lang w:val="zh-TW" w:eastAsia="zh-TW"/>
        </w:rPr>
        <w:t>中国国际贸易促进委员会商业行业委员会对</w:t>
      </w:r>
      <w:r>
        <w:rPr>
          <w:rFonts w:hint="eastAsia" w:ascii="宋体" w:hAnsi="宋体" w:eastAsia="宋体" w:cs="宋体"/>
          <w:color w:val="auto"/>
          <w:sz w:val="24"/>
          <w:szCs w:val="24"/>
          <w:lang w:val="en-US" w:eastAsia="zh-CN"/>
        </w:rPr>
        <w:t>标准的必要性和合理性进行评估后，</w:t>
      </w:r>
      <w:r>
        <w:rPr>
          <w:rFonts w:ascii="宋体" w:hAnsi="宋体" w:eastAsia="宋体" w:cs="宋体"/>
          <w:color w:val="auto"/>
          <w:sz w:val="24"/>
          <w:szCs w:val="24"/>
          <w:lang w:val="zh-TW"/>
        </w:rPr>
        <w:t>2024年6月25日</w:t>
      </w:r>
      <w:r>
        <w:rPr>
          <w:rFonts w:hint="eastAsia" w:ascii="宋体" w:hAnsi="宋体" w:eastAsia="宋体" w:cs="宋体"/>
          <w:color w:val="auto"/>
          <w:sz w:val="24"/>
          <w:szCs w:val="24"/>
          <w:lang w:val="zh-TW" w:eastAsia="zh-CN"/>
        </w:rPr>
        <w:t>，</w:t>
      </w:r>
      <w:r>
        <w:rPr>
          <w:rFonts w:ascii="宋体" w:hAnsi="宋体" w:eastAsia="宋体" w:cs="宋体"/>
          <w:color w:val="auto"/>
          <w:sz w:val="24"/>
          <w:szCs w:val="24"/>
          <w:lang w:val="zh-TW"/>
        </w:rPr>
        <w:t>于</w:t>
      </w:r>
      <w:r>
        <w:rPr>
          <w:rFonts w:hint="eastAsia" w:ascii="宋体" w:hAnsi="宋体" w:eastAsia="宋体" w:cs="宋体"/>
          <w:color w:val="auto"/>
          <w:sz w:val="24"/>
          <w:szCs w:val="24"/>
          <w:lang w:val="en-US" w:eastAsia="zh-CN"/>
        </w:rPr>
        <w:t>《关于下达2024年第五批团体标准项目计划的通知》（商贸促字〔2024〕143号）</w:t>
      </w:r>
      <w:r>
        <w:rPr>
          <w:rFonts w:ascii="宋体" w:hAnsi="宋体" w:eastAsia="宋体" w:cs="宋体"/>
          <w:color w:val="auto"/>
          <w:sz w:val="24"/>
          <w:szCs w:val="24"/>
          <w:lang w:val="zh-TW"/>
        </w:rPr>
        <w:t>中正式批准立项</w:t>
      </w:r>
      <w:r>
        <w:rPr>
          <w:rFonts w:ascii="宋体" w:hAnsi="宋体" w:eastAsia="宋体" w:cs="宋体"/>
          <w:color w:val="auto"/>
          <w:sz w:val="24"/>
          <w:szCs w:val="24"/>
          <w:lang w:val="zh-TW" w:eastAsia="zh-TW"/>
        </w:rPr>
        <w:t>，</w:t>
      </w:r>
      <w:bookmarkStart w:id="8" w:name="_GoBack"/>
      <w:bookmarkEnd w:id="8"/>
      <w:r>
        <w:rPr>
          <w:rFonts w:ascii="宋体" w:hAnsi="宋体" w:eastAsia="宋体" w:cs="宋体"/>
          <w:color w:val="auto"/>
          <w:sz w:val="24"/>
          <w:szCs w:val="24"/>
          <w:lang w:val="zh-TW"/>
        </w:rPr>
        <w:t>计划编号：CCPIT-CSC-JH20242</w:t>
      </w:r>
      <w:r>
        <w:rPr>
          <w:rFonts w:ascii="宋体" w:hAnsi="宋体" w:eastAsia="宋体" w:cs="宋体"/>
          <w:color w:val="auto"/>
          <w:sz w:val="24"/>
          <w:szCs w:val="24"/>
        </w:rPr>
        <w:t>86</w:t>
      </w:r>
      <w:r>
        <w:rPr>
          <w:rFonts w:ascii="宋体" w:hAnsi="宋体" w:eastAsia="宋体" w:cs="宋体"/>
          <w:color w:val="auto"/>
          <w:sz w:val="24"/>
          <w:szCs w:val="24"/>
          <w:lang w:val="zh-TW"/>
        </w:rPr>
        <w:t>。</w:t>
      </w:r>
    </w:p>
    <w:p w14:paraId="6ABF9443">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（三）起草阶段</w:t>
      </w:r>
    </w:p>
    <w:p w14:paraId="52A7AEB2">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1.组织起草小组：2024年6月，由中国贸促会商业行业委员会营商环境监测中心牵头成立起草小组，明确职责分工。</w:t>
      </w:r>
    </w:p>
    <w:p w14:paraId="05E5D323">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编制标准草案：2024年6月召开标准启动会暨首次研讨会，来自企事业单位、高校、科研院所20余名代表通过线上线下方式参加了会议，起草组对标准情况进行了汇报，并围绕标准内容等方面展开了讨论。起草小组根据预研阶段的成果，结合国内外相关标准和实际情况，编制标准草案。主要内容包括标准的适用范围、术语和定义、评估原则、评估指标体系、评估方法等。会后，起草组针对启动会前和会后，各单位及专家提出的12条修改建议进行了处理，并对相应的标准文本进行修订，开始新一轮意见征集。</w:t>
      </w:r>
    </w:p>
    <w:p w14:paraId="5CE18B7A">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3.内部审查：起草小组内部对标准草案进行多次审查和修改，确保标准内容的科学性、合理性和可操作性。2024年7月，标准第二次研讨会顺利召开，会议主要围绕启动会和首次研讨会召开以来征集到的意见进行讨论，针对专家提出的10条修改建议进行处理，并对相应的标准文本进行修改。2004年7月，标准第三次研讨会召开，针对专家提出的修改5条修改建议进行处理。</w:t>
      </w:r>
    </w:p>
    <w:p w14:paraId="53B0B623">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（四）征求意见阶段</w:t>
      </w:r>
    </w:p>
    <w:p w14:paraId="3D484F5B">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在征求意见阶段，主要工作包括：</w:t>
      </w:r>
    </w:p>
    <w:p w14:paraId="1A192C7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1.公开征求意见：通过信函、网上公开、会议等多种形式，向相关企业、政府部门、行业协会等广泛征求意见。</w:t>
      </w:r>
    </w:p>
    <w:p w14:paraId="52CB222D">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2.意见汇总与处理：2024年8月，我们将对收集到的意见进行汇总和分析，对合理的意见进行采纳，对不合理的意见进行解释说明，并对标准草案进行相应修改。</w:t>
      </w:r>
    </w:p>
    <w:p w14:paraId="55EAEF7D">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（五）送审阶段</w:t>
      </w:r>
    </w:p>
    <w:p w14:paraId="30F271C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2024年9月，送审阶段主要工作包括：</w:t>
      </w:r>
    </w:p>
    <w:p w14:paraId="6003407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1.提交送审稿：中国贸促会商业行业委员会营商环境监测中心将修改完善后的标准送审稿提交给</w:t>
      </w:r>
      <w:r>
        <w:rPr>
          <w:rFonts w:hint="eastAsia" w:ascii="宋体" w:hAnsi="宋体" w:eastAsia="宋体" w:cs="宋体"/>
          <w:color w:val="auto"/>
          <w:sz w:val="24"/>
          <w:szCs w:val="24"/>
          <w:lang w:val="zh-TW" w:eastAsia="zh-CN"/>
        </w:rPr>
        <w:t>中国国际贸易促进委员会商业行业委员会</w:t>
      </w:r>
      <w:r>
        <w:rPr>
          <w:rFonts w:ascii="宋体" w:hAnsi="宋体" w:eastAsia="宋体" w:cs="宋体"/>
          <w:color w:val="auto"/>
          <w:sz w:val="24"/>
          <w:szCs w:val="24"/>
          <w:lang w:val="zh-TW"/>
        </w:rPr>
        <w:t>进行审查。</w:t>
      </w:r>
    </w:p>
    <w:p w14:paraId="77CE2F3C">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2.审查与批准：中国国际贸易促进委员会商业行业委员会组织专家对送审稿进行审查，提出修改建议。起草小组根据审查意见对标准进行修改和完善，直至获得批准发布。</w:t>
      </w:r>
    </w:p>
    <w:p w14:paraId="3BF70E9A">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四、标准的主要内容和依据</w:t>
      </w:r>
    </w:p>
    <w:p w14:paraId="0FF802E3">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（一）</w:t>
      </w:r>
      <w:r>
        <w:rPr>
          <w:rFonts w:hint="default" w:ascii="宋体" w:hAnsi="宋体" w:eastAsia="宋体" w:cs="宋体"/>
          <w:b/>
          <w:bCs/>
          <w:color w:val="auto"/>
          <w:sz w:val="24"/>
          <w:szCs w:val="24"/>
          <w:lang w:val="zh-TW"/>
        </w:rPr>
        <w:t>制定原则</w:t>
      </w:r>
    </w:p>
    <w:p w14:paraId="3893893E">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bookmarkStart w:id="1" w:name="_Toc27761"/>
      <w:r>
        <w:rPr>
          <w:rFonts w:ascii="宋体" w:hAnsi="宋体" w:eastAsia="宋体" w:cs="宋体"/>
          <w:color w:val="auto"/>
          <w:sz w:val="24"/>
          <w:szCs w:val="24"/>
        </w:rPr>
        <w:t>1.合法合理原则</w:t>
      </w:r>
      <w:bookmarkEnd w:id="1"/>
    </w:p>
    <w:p w14:paraId="0F04F40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bookmarkStart w:id="2" w:name="_Toc169546872"/>
      <w:bookmarkStart w:id="3" w:name="_Toc18780"/>
      <w:r>
        <w:rPr>
          <w:rFonts w:ascii="宋体" w:hAnsi="宋体" w:eastAsia="宋体" w:cs="宋体"/>
          <w:color w:val="auto"/>
          <w:sz w:val="24"/>
          <w:szCs w:val="24"/>
        </w:rPr>
        <w:t>本标准应当符合法律、行政法规等上位法以及国家政策文件的要求，符合理性、适当的要求。</w:t>
      </w:r>
    </w:p>
    <w:p w14:paraId="4C119418">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2.公平公正原则</w:t>
      </w:r>
      <w:bookmarkEnd w:id="2"/>
      <w:bookmarkEnd w:id="3"/>
    </w:p>
    <w:p w14:paraId="596B2C5E">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bookmarkStart w:id="4" w:name="_Toc3427"/>
      <w:bookmarkStart w:id="5" w:name="_Toc169546873"/>
      <w:r>
        <w:rPr>
          <w:rFonts w:ascii="宋体" w:hAnsi="宋体" w:eastAsia="宋体" w:cs="宋体"/>
          <w:color w:val="auto"/>
          <w:sz w:val="24"/>
          <w:szCs w:val="24"/>
        </w:rPr>
        <w:t>本标准应当符合公正、公平的要求，不偏袒特定利益相关者，依据优化营商环境的实际情况和客观数据，综合考虑影响经营主体保护的各个环节和影响因素，科学确定制定本标准的内容体系。</w:t>
      </w:r>
    </w:p>
    <w:p w14:paraId="7F91EF35">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3.透明参与原则</w:t>
      </w:r>
      <w:bookmarkEnd w:id="4"/>
      <w:bookmarkEnd w:id="5"/>
    </w:p>
    <w:p w14:paraId="1C92B506">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bookmarkStart w:id="6" w:name="_Toc169546874"/>
      <w:bookmarkStart w:id="7" w:name="_Toc16684"/>
      <w:r>
        <w:rPr>
          <w:rFonts w:ascii="宋体" w:hAnsi="宋体" w:eastAsia="宋体" w:cs="宋体"/>
          <w:color w:val="auto"/>
          <w:sz w:val="24"/>
          <w:szCs w:val="24"/>
          <w:lang w:val="zh-TW"/>
        </w:rPr>
        <w:t>本标准的过程应当公开透明，充分吸纳各方的意见和建议，并且鼓励相关方参与标准的制定和修订过程，结合营商环境的发展变化及时更新标准内容，确保标准的全面性、适宜性和可接受性。</w:t>
      </w:r>
    </w:p>
    <w:p w14:paraId="433768E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4.便于应用原则</w:t>
      </w:r>
      <w:bookmarkEnd w:id="6"/>
      <w:bookmarkEnd w:id="7"/>
    </w:p>
    <w:p w14:paraId="3FBFD822">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制定本标准和后续的应用，应当同时设定可衡量、可评价的指标，并且确保评价方法和指标体系在实际操作中具有可行性，尽量采用数据“无感”收集等方式，提高数据收集的便利度，从而客观及时反映营商环境现状。</w:t>
      </w:r>
    </w:p>
    <w:p w14:paraId="3DD35A02">
      <w:pPr>
        <w:pStyle w:val="9"/>
        <w:keepNext w:val="0"/>
        <w:keepLines w:val="0"/>
        <w:pageBreakBefore w:val="0"/>
        <w:widowControl/>
        <w:numPr>
          <w:ilvl w:val="0"/>
          <w:numId w:val="0"/>
        </w:numPr>
        <w:tabs>
          <w:tab w:val="left" w:pos="312"/>
        </w:tabs>
        <w:kinsoku/>
        <w:wordWrap/>
        <w:overflowPunct/>
        <w:topLinePunct w:val="0"/>
        <w:autoSpaceDE/>
        <w:autoSpaceDN/>
        <w:bidi w:val="0"/>
        <w:adjustRightInd/>
        <w:snapToGrid/>
        <w:spacing w:before="0" w:beforeLines="0" w:after="0" w:afterLines="0" w:line="360" w:lineRule="auto"/>
        <w:ind w:firstLine="482" w:firstLineChars="200"/>
        <w:textAlignment w:val="auto"/>
        <w:rPr>
          <w:b/>
          <w:bCs/>
        </w:rPr>
      </w:pPr>
      <w:r>
        <w:rPr>
          <w:rFonts w:hint="eastAsia" w:ascii="宋体" w:hAnsi="宋体" w:eastAsia="宋体" w:cs="宋体"/>
          <w:b/>
          <w:bCs/>
          <w:sz w:val="24"/>
          <w:szCs w:val="24"/>
          <w:lang w:val="zh-TW"/>
        </w:rPr>
        <w:t>（二）</w:t>
      </w:r>
      <w:r>
        <w:rPr>
          <w:rFonts w:ascii="宋体" w:hAnsi="宋体" w:eastAsia="宋体" w:cs="宋体"/>
          <w:b/>
          <w:bCs/>
          <w:sz w:val="24"/>
          <w:szCs w:val="24"/>
          <w:lang w:val="zh-TW"/>
        </w:rPr>
        <w:t>主要技术内容的说</w:t>
      </w:r>
      <w:r>
        <w:rPr>
          <w:rFonts w:hint="eastAsia" w:ascii="宋体" w:hAnsi="宋体" w:eastAsia="宋体" w:cs="宋体"/>
          <w:b/>
          <w:bCs/>
          <w:sz w:val="24"/>
          <w:szCs w:val="24"/>
          <w:lang w:val="zh-TW"/>
        </w:rPr>
        <w:t>明</w:t>
      </w:r>
    </w:p>
    <w:p w14:paraId="7030C768">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本标准以经营主体的生命周期为轴线，以经营主体的权利类型为着重点，设计评价经营主体保护水平的10个一级指标，即便捷准入、知情参与、自主经营、平等发展、财产保护、人身保护、有效监管、政策环境、监督救济和依法退出，下设17个二级指标、106个三级指标。</w:t>
      </w:r>
    </w:p>
    <w:p w14:paraId="1A5EC1F7">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五、标准的水平</w:t>
      </w:r>
    </w:p>
    <w:p w14:paraId="4043EAD6">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default" w:ascii="宋体" w:hAnsi="宋体" w:eastAsia="宋体" w:cs="宋体"/>
          <w:color w:val="auto"/>
          <w:sz w:val="24"/>
          <w:szCs w:val="24"/>
          <w:lang w:val="zh-TW"/>
        </w:rPr>
        <w:t>该团体标准作为优化营商环境经营主体保护</w:t>
      </w:r>
      <w:r>
        <w:rPr>
          <w:rFonts w:ascii="宋体" w:hAnsi="宋体" w:eastAsia="宋体" w:cs="宋体"/>
          <w:color w:val="auto"/>
          <w:sz w:val="24"/>
          <w:szCs w:val="24"/>
        </w:rPr>
        <w:t>的</w:t>
      </w:r>
      <w:r>
        <w:rPr>
          <w:rFonts w:hint="default" w:ascii="宋体" w:hAnsi="宋体" w:eastAsia="宋体" w:cs="宋体"/>
          <w:color w:val="auto"/>
          <w:sz w:val="24"/>
          <w:szCs w:val="24"/>
          <w:lang w:val="zh-TW"/>
        </w:rPr>
        <w:t>专业性评价指标，其水平应定位于国内先进水平或国际先进水平，具体取决于标准制定过程中所参考的国内外相关标准、技术发展趋势以及营商环境经营主体的实际需求。该标准将结合营商环境经营主体的特点，提出具有科学性、合理性和可操作性的评估指标体系和方法。</w:t>
      </w:r>
    </w:p>
    <w:p w14:paraId="0894DFD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六、与有关的现行法律、法规和强制性国家标准的关系</w:t>
      </w:r>
    </w:p>
    <w:p w14:paraId="525D3677">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与现行法律、法规的关系</w:t>
      </w:r>
    </w:p>
    <w:p w14:paraId="5CFF65D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hint="default" w:ascii="宋体" w:hAnsi="宋体" w:eastAsia="宋体" w:cs="宋体"/>
          <w:color w:val="auto"/>
          <w:sz w:val="24"/>
          <w:szCs w:val="24"/>
          <w:lang w:val="zh-TW"/>
        </w:rPr>
        <w:t>该团体标准应严格遵循国家现行的相关法律、法规，确保评估工作的合法性和合规性。在遵循国家法律、法规的基础上，该标准将进一步细化营商环境</w:t>
      </w:r>
      <w:r>
        <w:rPr>
          <w:rFonts w:ascii="宋体" w:hAnsi="宋体" w:eastAsia="宋体" w:cs="宋体"/>
          <w:color w:val="auto"/>
          <w:sz w:val="24"/>
          <w:szCs w:val="24"/>
        </w:rPr>
        <w:t>经营主体保护评价指标</w:t>
      </w:r>
      <w:r>
        <w:rPr>
          <w:rFonts w:hint="default" w:ascii="宋体" w:hAnsi="宋体" w:eastAsia="宋体" w:cs="宋体"/>
          <w:color w:val="auto"/>
          <w:sz w:val="24"/>
          <w:szCs w:val="24"/>
          <w:lang w:val="zh-TW"/>
        </w:rPr>
        <w:t>，为相关方提供更加详细、具体的指导。</w:t>
      </w:r>
    </w:p>
    <w:p w14:paraId="4CF3F267">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lang w:val="zh-TW"/>
        </w:rPr>
        <w:t>（二）</w:t>
      </w:r>
      <w:r>
        <w:rPr>
          <w:rFonts w:hint="default" w:ascii="宋体" w:hAnsi="宋体" w:eastAsia="宋体" w:cs="宋体"/>
          <w:b/>
          <w:bCs/>
          <w:color w:val="auto"/>
          <w:sz w:val="24"/>
          <w:szCs w:val="24"/>
          <w:lang w:val="zh-TW"/>
        </w:rPr>
        <w:t>与强制性国家标准的关系</w:t>
      </w:r>
    </w:p>
    <w:p w14:paraId="45A743D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目前该领域尚无国家强制标准。</w:t>
      </w:r>
      <w:r>
        <w:rPr>
          <w:rFonts w:hint="default" w:ascii="宋体" w:hAnsi="宋体" w:eastAsia="宋体" w:cs="宋体"/>
          <w:color w:val="auto"/>
          <w:sz w:val="24"/>
          <w:szCs w:val="24"/>
          <w:lang w:val="zh-TW"/>
        </w:rPr>
        <w:t>该团体标准将填补营商环境</w:t>
      </w:r>
      <w:r>
        <w:rPr>
          <w:rFonts w:ascii="宋体" w:hAnsi="宋体" w:eastAsia="宋体" w:cs="宋体"/>
          <w:color w:val="auto"/>
          <w:sz w:val="24"/>
          <w:szCs w:val="24"/>
        </w:rPr>
        <w:t>经营主体保护评价指标</w:t>
      </w:r>
      <w:r>
        <w:rPr>
          <w:rFonts w:hint="default" w:ascii="宋体" w:hAnsi="宋体" w:eastAsia="宋体" w:cs="宋体"/>
          <w:color w:val="auto"/>
          <w:sz w:val="24"/>
          <w:szCs w:val="24"/>
          <w:lang w:val="zh-TW"/>
        </w:rPr>
        <w:t>方面的标准空白，为行业的健康发展提供有力保障。</w:t>
      </w:r>
    </w:p>
    <w:p w14:paraId="3CE1801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七、贯彻标准的要求和措施建议</w:t>
      </w:r>
    </w:p>
    <w:p w14:paraId="31FAEF88">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rPr>
        <w:t>（一）</w:t>
      </w:r>
      <w:r>
        <w:rPr>
          <w:rFonts w:hint="default" w:ascii="宋体" w:hAnsi="宋体" w:eastAsia="宋体" w:cs="宋体"/>
          <w:b/>
          <w:bCs/>
          <w:color w:val="auto"/>
          <w:sz w:val="24"/>
          <w:szCs w:val="24"/>
          <w:lang w:val="zh-TW"/>
        </w:rPr>
        <w:t>贯彻标准的要求</w:t>
      </w:r>
    </w:p>
    <w:p w14:paraId="02C408B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w:t>
      </w:r>
      <w:r>
        <w:rPr>
          <w:rFonts w:hint="default" w:ascii="宋体" w:hAnsi="宋体" w:eastAsia="宋体" w:cs="宋体"/>
          <w:color w:val="auto"/>
          <w:sz w:val="24"/>
          <w:szCs w:val="24"/>
          <w:lang w:val="zh-TW"/>
        </w:rPr>
        <w:t>广泛宣传：通过多种渠道和方式，广泛宣传该团体标准的重要性和必要性，提高相关方的认知度和接受度。</w:t>
      </w:r>
    </w:p>
    <w:p w14:paraId="358EA22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w:t>
      </w:r>
      <w:r>
        <w:rPr>
          <w:rFonts w:hint="default" w:ascii="宋体" w:hAnsi="宋体" w:eastAsia="宋体" w:cs="宋体"/>
          <w:color w:val="auto"/>
          <w:sz w:val="24"/>
          <w:szCs w:val="24"/>
          <w:lang w:val="zh-TW"/>
        </w:rPr>
        <w:t>培训教育：组织专题培训和交流活动，提高相关方对标准的理解和应用能力。</w:t>
      </w:r>
    </w:p>
    <w:p w14:paraId="3BEEA36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3.</w:t>
      </w:r>
      <w:r>
        <w:rPr>
          <w:rFonts w:hint="default" w:ascii="宋体" w:hAnsi="宋体" w:eastAsia="宋体" w:cs="宋体"/>
          <w:color w:val="auto"/>
          <w:sz w:val="24"/>
          <w:szCs w:val="24"/>
          <w:lang w:val="zh-TW"/>
        </w:rPr>
        <w:t>严格实施：要求相关方在评估工作中严格按照标准执行，确保评估结果的客观性和准确性。</w:t>
      </w:r>
    </w:p>
    <w:p w14:paraId="4D00A2D4">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lang w:val="zh-TW"/>
        </w:rPr>
      </w:pPr>
      <w:r>
        <w:rPr>
          <w:rFonts w:ascii="宋体" w:hAnsi="宋体" w:eastAsia="宋体" w:cs="宋体"/>
          <w:b/>
          <w:bCs/>
          <w:color w:val="auto"/>
          <w:sz w:val="24"/>
          <w:szCs w:val="24"/>
        </w:rPr>
        <w:t>（二）</w:t>
      </w:r>
      <w:r>
        <w:rPr>
          <w:rFonts w:hint="default" w:ascii="宋体" w:hAnsi="宋体" w:eastAsia="宋体" w:cs="宋体"/>
          <w:b/>
          <w:bCs/>
          <w:color w:val="auto"/>
          <w:sz w:val="24"/>
          <w:szCs w:val="24"/>
          <w:lang w:val="zh-TW"/>
        </w:rPr>
        <w:t>措施建议</w:t>
      </w:r>
    </w:p>
    <w:p w14:paraId="2C738020">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1.</w:t>
      </w:r>
      <w:r>
        <w:rPr>
          <w:rFonts w:hint="default" w:ascii="宋体" w:hAnsi="宋体" w:eastAsia="宋体" w:cs="宋体"/>
          <w:color w:val="auto"/>
          <w:sz w:val="24"/>
          <w:szCs w:val="24"/>
          <w:lang w:val="zh-TW"/>
        </w:rPr>
        <w:t>建立监督机制：建立健全的监督机制，对标准的实施情况进行定期检查和评估，确保标准的有效执行。</w:t>
      </w:r>
    </w:p>
    <w:p w14:paraId="66070EA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2.</w:t>
      </w:r>
      <w:r>
        <w:rPr>
          <w:rFonts w:hint="default" w:ascii="宋体" w:hAnsi="宋体" w:eastAsia="宋体" w:cs="宋体"/>
          <w:color w:val="auto"/>
          <w:sz w:val="24"/>
          <w:szCs w:val="24"/>
          <w:lang w:val="zh-TW"/>
        </w:rPr>
        <w:t>加强协调合作：加强政府、企业、行业协会等各方之间的协调合作，形成合力推动标准的贯彻实施。</w:t>
      </w:r>
    </w:p>
    <w:p w14:paraId="37CB3F38">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3.</w:t>
      </w:r>
      <w:r>
        <w:rPr>
          <w:rFonts w:hint="default" w:ascii="宋体" w:hAnsi="宋体" w:eastAsia="宋体" w:cs="宋体"/>
          <w:color w:val="auto"/>
          <w:sz w:val="24"/>
          <w:szCs w:val="24"/>
          <w:lang w:val="zh-TW"/>
        </w:rPr>
        <w:t>鼓励创新：鼓励相关方在标准实施过程中积极创新，探索更加高效、便捷的评估方法和技术手段。</w:t>
      </w:r>
    </w:p>
    <w:p w14:paraId="0B45138D">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kern w:val="0"/>
          <w:sz w:val="24"/>
          <w:szCs w:val="24"/>
          <w:lang w:val="zh-TW"/>
        </w:rPr>
      </w:pPr>
      <w:r>
        <w:rPr>
          <w:rFonts w:ascii="宋体" w:hAnsi="宋体" w:eastAsia="宋体" w:cs="宋体"/>
          <w:b/>
          <w:bCs/>
          <w:kern w:val="0"/>
          <w:sz w:val="24"/>
          <w:szCs w:val="24"/>
          <w:lang w:val="zh-TW"/>
        </w:rPr>
        <w:t>八、标准实施的预期效果</w:t>
      </w:r>
    </w:p>
    <w:p w14:paraId="740BB148">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（一）</w:t>
      </w:r>
      <w:r>
        <w:rPr>
          <w:rFonts w:hint="default" w:ascii="宋体" w:hAnsi="宋体" w:eastAsia="宋体" w:cs="宋体"/>
          <w:color w:val="auto"/>
          <w:sz w:val="24"/>
          <w:szCs w:val="24"/>
          <w:lang w:val="zh-TW"/>
        </w:rPr>
        <w:t>提高经营主体的满意度和获得感：通过实施本标准，优化营商环境，降低企业经营成本，提高经营效率。极大提升经营主体的满意度和获得感，激发他们的积极性和创造力</w:t>
      </w:r>
      <w:r>
        <w:rPr>
          <w:rFonts w:ascii="宋体" w:hAnsi="宋体" w:eastAsia="宋体" w:cs="宋体"/>
          <w:color w:val="auto"/>
          <w:sz w:val="24"/>
          <w:szCs w:val="24"/>
          <w:lang w:val="zh-TW"/>
        </w:rPr>
        <w:t>。</w:t>
      </w:r>
    </w:p>
    <w:p w14:paraId="7F9D05AC">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（二）</w:t>
      </w:r>
      <w:r>
        <w:rPr>
          <w:rFonts w:hint="default" w:ascii="宋体" w:hAnsi="宋体" w:eastAsia="宋体" w:cs="宋体"/>
          <w:color w:val="auto"/>
          <w:sz w:val="24"/>
          <w:szCs w:val="24"/>
          <w:lang w:val="zh-TW"/>
        </w:rPr>
        <w:t>优化营商环境：标准中的评估指标体系将引导相关方关注并解决营商环境中的关键问题，推动营商环境的持续优化。</w:t>
      </w:r>
    </w:p>
    <w:p w14:paraId="45EF94B1">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（三）</w:t>
      </w:r>
      <w:r>
        <w:rPr>
          <w:rFonts w:hint="default" w:ascii="宋体" w:hAnsi="宋体" w:eastAsia="宋体" w:cs="宋体"/>
          <w:color w:val="auto"/>
          <w:sz w:val="24"/>
          <w:szCs w:val="24"/>
          <w:lang w:val="zh-TW"/>
        </w:rPr>
        <w:t>激发市场活力：优化营商环境能够进一步激发市场活力和社会创造力。降低市场准入门槛，拓宽投资领域和渠道，吸引更多社会资本参与经济发展。</w:t>
      </w:r>
    </w:p>
    <w:p w14:paraId="132811DC">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（四）</w:t>
      </w:r>
      <w:r>
        <w:rPr>
          <w:rFonts w:hint="default" w:ascii="宋体" w:hAnsi="宋体" w:eastAsia="宋体" w:cs="宋体"/>
          <w:color w:val="auto"/>
          <w:sz w:val="24"/>
          <w:szCs w:val="24"/>
          <w:lang w:val="zh-TW"/>
        </w:rPr>
        <w:t>促进公平竞争：标准的实施有助于维护市场的公平竞争秩序，保护企业和消费者的合法权益。</w:t>
      </w:r>
    </w:p>
    <w:p w14:paraId="0341EA4F">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lang w:val="zh-TW"/>
        </w:rPr>
      </w:pPr>
      <w:r>
        <w:rPr>
          <w:rFonts w:ascii="宋体" w:hAnsi="宋体" w:eastAsia="宋体" w:cs="宋体"/>
          <w:color w:val="auto"/>
          <w:sz w:val="24"/>
          <w:szCs w:val="24"/>
          <w:lang w:val="zh-TW"/>
        </w:rPr>
        <w:t>（五）</w:t>
      </w:r>
      <w:r>
        <w:rPr>
          <w:rFonts w:hint="default" w:ascii="宋体" w:hAnsi="宋体" w:eastAsia="宋体" w:cs="宋体"/>
          <w:color w:val="auto"/>
          <w:sz w:val="24"/>
          <w:szCs w:val="24"/>
          <w:lang w:val="zh-TW"/>
        </w:rPr>
        <w:t>积累宝贵经验：团体标准的制定和实施过程将为未来相关国家标准的制定和修订提供宝贵经验和数据支持。</w:t>
      </w:r>
    </w:p>
    <w:p w14:paraId="12C693D2">
      <w:pPr>
        <w:keepNext w:val="0"/>
        <w:keepLines w:val="0"/>
        <w:pageBreakBefore w:val="0"/>
        <w:framePr w:wrap="auto" w:vAnchor="margin" w:hAnchor="text" w:yAlign="inline"/>
        <w:kinsoku/>
        <w:wordWrap/>
        <w:overflowPunct/>
        <w:topLinePunct w:val="0"/>
        <w:autoSpaceDE/>
        <w:autoSpaceDN/>
        <w:bidi w:val="0"/>
        <w:adjustRightInd/>
        <w:snapToGrid/>
        <w:spacing w:line="360" w:lineRule="auto"/>
        <w:ind w:firstLine="420" w:firstLineChars="200"/>
        <w:textAlignment w:val="auto"/>
        <w:rPr>
          <w:rFonts w:hint="default"/>
          <w:color w:val="FF0000"/>
        </w:rPr>
      </w:pPr>
    </w:p>
    <w:sectPr>
      <w:headerReference r:id="rId3" w:type="default"/>
      <w:footerReference r:id="rId4" w:type="default"/>
      <w:pgSz w:w="11900" w:h="16840"/>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Arial"/>
    <w:panose1 w:val="000000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B476">
    <w:pPr>
      <w:pStyle w:val="2"/>
      <w:framePr w:wrap="auto" w:vAnchor="margin" w:hAnchor="text" w:yAlign="inline"/>
      <w:tabs>
        <w:tab w:val="right" w:pos="8280"/>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095E">
    <w:pPr>
      <w:pStyle w:val="12"/>
      <w:framePr w:wrap="auto" w:vAnchor="margin" w:hAnchor="text" w:yAlign="inline"/>
    </w:pPr>
    <w:r>
      <mc:AlternateContent>
        <mc:Choice Requires="wps">
          <w:drawing>
            <wp:anchor distT="152400" distB="152400" distL="152400" distR="152400" simplePos="0" relativeHeight="251659264"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2700" cap="flat">
                        <a:noFill/>
                        <a:miter lim="400000"/>
                      </a:ln>
                      <a:effectLst/>
                    </wps:spPr>
                    <wps:txbx>
                      <w:txbxContent>
                        <w:p w14:paraId="6DE1BB72">
                          <w:pPr>
                            <w:pStyle w:val="2"/>
                          </w:pPr>
                          <w:r>
                            <w:fldChar w:fldCharType="begin"/>
                          </w:r>
                          <w:r>
                            <w:instrText xml:space="preserve"> PAGE </w:instrText>
                          </w:r>
                          <w:r>
                            <w:fldChar w:fldCharType="separate"/>
                          </w:r>
                          <w:r>
                            <w:t>3</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95.35pt;margin-top:774.3pt;height:10.35pt;width:4.55pt;mso-position-horizontal-relative:page;mso-position-vertical-relative:page;z-index:-251657216;mso-width-relative:page;mso-height-relative:page;" filled="f" stroked="f" coordsize="21600,21600" o:gfxdata="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U1QY2gAAAA0BAAAPAAAAAAAAAAEAIAAA&#10;ACIAAABkcnMvZG93bnJldi54bWxQSwECFAAUAAAACACHTuJA98QOIAoCAAD+AwAADgAAAAAAAAAB&#10;ACAAAAApAQAAZHJzL2Uyb0RvYy54bWxQSwUGAAAAAAYABgBZAQAApQUAAAAA&#10;">
              <v:fill on="f" focussize="0,0"/>
              <v:stroke on="f" weight="1pt" miterlimit="4" joinstyle="miter"/>
              <v:imagedata o:title=""/>
              <o:lock v:ext="edit" aspectratio="f"/>
              <v:textbox inset="0mm,0mm,0mm,0mm">
                <w:txbxContent>
                  <w:p w14:paraId="6DE1BB72">
                    <w:pPr>
                      <w:pStyle w:val="2"/>
                    </w:pPr>
                    <w:r>
                      <w:fldChar w:fldCharType="begin"/>
                    </w:r>
                    <w:r>
                      <w:instrText xml:space="preserve"> PAGE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425" w:firstLine="0"/>
      </w:pPr>
      <w:rPr>
        <w:rFonts w:hint="eastAsia" w:ascii="黑体" w:hAnsi="Times New Roman" w:eastAsia="黑体" w:cs="Times New Roman"/>
        <w:b w:val="0"/>
        <w:bCs w:val="0"/>
        <w:i w:val="0"/>
        <w:iCs w:val="0"/>
        <w:caps w:val="0"/>
        <w:strike w:val="0"/>
        <w:dstrike w:val="0"/>
        <w:vanish w:val="0"/>
        <w:color w:val="800000"/>
        <w:spacing w:val="0"/>
        <w:kern w:val="0"/>
        <w:position w:val="0"/>
        <w:sz w:val="21"/>
        <w:szCs w:val="21"/>
        <w:u w:val="none"/>
        <w:vertAlign w:val="baseline"/>
      </w:rPr>
    </w:lvl>
    <w:lvl w:ilvl="2" w:tentative="0">
      <w:start w:val="1"/>
      <w:numFmt w:val="decimal"/>
      <w:suff w:val="nothing"/>
      <w:lvlText w:val="%1.%2.%3　"/>
      <w:lvlJc w:val="left"/>
      <w:pPr>
        <w:ind w:left="22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7C542B2"/>
    <w:multiLevelType w:val="multilevel"/>
    <w:tmpl w:val="37C542B2"/>
    <w:lvl w:ilvl="0" w:tentative="0">
      <w:start w:val="1"/>
      <w:numFmt w:val="none"/>
      <w:suff w:val="nothing"/>
      <w:lvlText w:val="一、"/>
      <w:lvlJc w:val="left"/>
      <w:pPr>
        <w:ind w:left="992" w:hanging="510"/>
      </w:pPr>
      <w:rPr>
        <w:rFonts w:hint="eastAsia" w:eastAsia="宋体"/>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
  <w:docVars>
    <w:docVar w:name="commondata" w:val="eyJoZGlkIjoiOTJlMDBlOWJiMzljNTUxODg0YTk2M2RjZjdjOTZjNzcifQ=="/>
  </w:docVars>
  <w:rsids>
    <w:rsidRoot w:val="001C1971"/>
    <w:rsid w:val="0000007A"/>
    <w:rsid w:val="00001B5B"/>
    <w:rsid w:val="00010B53"/>
    <w:rsid w:val="000117FA"/>
    <w:rsid w:val="00015ECA"/>
    <w:rsid w:val="00021F88"/>
    <w:rsid w:val="00023AB0"/>
    <w:rsid w:val="00035B6D"/>
    <w:rsid w:val="00037A2E"/>
    <w:rsid w:val="00050AEC"/>
    <w:rsid w:val="00072B27"/>
    <w:rsid w:val="00082FF1"/>
    <w:rsid w:val="00084859"/>
    <w:rsid w:val="000905AB"/>
    <w:rsid w:val="00094129"/>
    <w:rsid w:val="000B3167"/>
    <w:rsid w:val="000C006E"/>
    <w:rsid w:val="000F45D3"/>
    <w:rsid w:val="000F71FA"/>
    <w:rsid w:val="00102875"/>
    <w:rsid w:val="001133B0"/>
    <w:rsid w:val="00136DC2"/>
    <w:rsid w:val="001445DA"/>
    <w:rsid w:val="001808FE"/>
    <w:rsid w:val="001C1971"/>
    <w:rsid w:val="001D2CAE"/>
    <w:rsid w:val="00204F84"/>
    <w:rsid w:val="00215DD7"/>
    <w:rsid w:val="002512F2"/>
    <w:rsid w:val="00264B72"/>
    <w:rsid w:val="002663D9"/>
    <w:rsid w:val="002665EC"/>
    <w:rsid w:val="0028709D"/>
    <w:rsid w:val="00295751"/>
    <w:rsid w:val="002B4CE6"/>
    <w:rsid w:val="002D4343"/>
    <w:rsid w:val="002F0B8B"/>
    <w:rsid w:val="002F3AA6"/>
    <w:rsid w:val="002F3F3E"/>
    <w:rsid w:val="0030564F"/>
    <w:rsid w:val="0031319C"/>
    <w:rsid w:val="0035380E"/>
    <w:rsid w:val="00377697"/>
    <w:rsid w:val="00391E44"/>
    <w:rsid w:val="00392AF6"/>
    <w:rsid w:val="0039677A"/>
    <w:rsid w:val="003A0FD7"/>
    <w:rsid w:val="003B30F9"/>
    <w:rsid w:val="003C6F12"/>
    <w:rsid w:val="003D652D"/>
    <w:rsid w:val="004005B0"/>
    <w:rsid w:val="004240F0"/>
    <w:rsid w:val="00435909"/>
    <w:rsid w:val="00453F8D"/>
    <w:rsid w:val="004B46F1"/>
    <w:rsid w:val="004B56C3"/>
    <w:rsid w:val="004D05EE"/>
    <w:rsid w:val="004D285A"/>
    <w:rsid w:val="00525B9B"/>
    <w:rsid w:val="00546C9F"/>
    <w:rsid w:val="00550AA3"/>
    <w:rsid w:val="00555768"/>
    <w:rsid w:val="0059365C"/>
    <w:rsid w:val="005A6EF5"/>
    <w:rsid w:val="005B13B2"/>
    <w:rsid w:val="005F7B08"/>
    <w:rsid w:val="00605F70"/>
    <w:rsid w:val="006123BD"/>
    <w:rsid w:val="00647AAD"/>
    <w:rsid w:val="00666AC0"/>
    <w:rsid w:val="00695C8A"/>
    <w:rsid w:val="006A4054"/>
    <w:rsid w:val="006A5904"/>
    <w:rsid w:val="006D28E6"/>
    <w:rsid w:val="006E4EB5"/>
    <w:rsid w:val="006E7F2E"/>
    <w:rsid w:val="00713B38"/>
    <w:rsid w:val="00716D2A"/>
    <w:rsid w:val="00720891"/>
    <w:rsid w:val="00753EC9"/>
    <w:rsid w:val="00791143"/>
    <w:rsid w:val="007A6EC1"/>
    <w:rsid w:val="007C78B9"/>
    <w:rsid w:val="007D7840"/>
    <w:rsid w:val="007F7367"/>
    <w:rsid w:val="00844A75"/>
    <w:rsid w:val="00852083"/>
    <w:rsid w:val="00872310"/>
    <w:rsid w:val="008A1E38"/>
    <w:rsid w:val="008D1A07"/>
    <w:rsid w:val="008E73B2"/>
    <w:rsid w:val="00903D18"/>
    <w:rsid w:val="009078BB"/>
    <w:rsid w:val="0092426D"/>
    <w:rsid w:val="0092709E"/>
    <w:rsid w:val="009303D5"/>
    <w:rsid w:val="00951C47"/>
    <w:rsid w:val="009618BF"/>
    <w:rsid w:val="0096218D"/>
    <w:rsid w:val="00964B16"/>
    <w:rsid w:val="009936AB"/>
    <w:rsid w:val="009A2906"/>
    <w:rsid w:val="009A514C"/>
    <w:rsid w:val="009B4725"/>
    <w:rsid w:val="009C08DA"/>
    <w:rsid w:val="009C333D"/>
    <w:rsid w:val="009D2E05"/>
    <w:rsid w:val="009F19C0"/>
    <w:rsid w:val="009F61F0"/>
    <w:rsid w:val="00A14861"/>
    <w:rsid w:val="00A22E73"/>
    <w:rsid w:val="00A329F7"/>
    <w:rsid w:val="00A369F1"/>
    <w:rsid w:val="00A50E1B"/>
    <w:rsid w:val="00A56255"/>
    <w:rsid w:val="00A7221A"/>
    <w:rsid w:val="00A72737"/>
    <w:rsid w:val="00A72D65"/>
    <w:rsid w:val="00A76DB0"/>
    <w:rsid w:val="00AE5E92"/>
    <w:rsid w:val="00B0520A"/>
    <w:rsid w:val="00B154D0"/>
    <w:rsid w:val="00B24BB4"/>
    <w:rsid w:val="00B33BF1"/>
    <w:rsid w:val="00B3497B"/>
    <w:rsid w:val="00B45AE7"/>
    <w:rsid w:val="00B5017B"/>
    <w:rsid w:val="00C01246"/>
    <w:rsid w:val="00C13DB0"/>
    <w:rsid w:val="00C149D5"/>
    <w:rsid w:val="00C223EE"/>
    <w:rsid w:val="00C50B12"/>
    <w:rsid w:val="00C731C6"/>
    <w:rsid w:val="00C870A4"/>
    <w:rsid w:val="00C923B3"/>
    <w:rsid w:val="00CC03AF"/>
    <w:rsid w:val="00CD3464"/>
    <w:rsid w:val="00CE51C9"/>
    <w:rsid w:val="00D20D5B"/>
    <w:rsid w:val="00D418D7"/>
    <w:rsid w:val="00D42091"/>
    <w:rsid w:val="00D42375"/>
    <w:rsid w:val="00D92B72"/>
    <w:rsid w:val="00D92D8A"/>
    <w:rsid w:val="00D9431E"/>
    <w:rsid w:val="00DA1793"/>
    <w:rsid w:val="00DA316E"/>
    <w:rsid w:val="00DB3344"/>
    <w:rsid w:val="00DC0655"/>
    <w:rsid w:val="00DD1545"/>
    <w:rsid w:val="00DF5A59"/>
    <w:rsid w:val="00E045F4"/>
    <w:rsid w:val="00E20101"/>
    <w:rsid w:val="00E21072"/>
    <w:rsid w:val="00E223F5"/>
    <w:rsid w:val="00E42EA4"/>
    <w:rsid w:val="00E476F5"/>
    <w:rsid w:val="00E66352"/>
    <w:rsid w:val="00E86919"/>
    <w:rsid w:val="00E95A59"/>
    <w:rsid w:val="00EA0E6F"/>
    <w:rsid w:val="00EA45A0"/>
    <w:rsid w:val="00EB7D2E"/>
    <w:rsid w:val="00ED4542"/>
    <w:rsid w:val="00ED6663"/>
    <w:rsid w:val="00EE0D56"/>
    <w:rsid w:val="00EE2BFC"/>
    <w:rsid w:val="00EF578C"/>
    <w:rsid w:val="00F06039"/>
    <w:rsid w:val="00F10349"/>
    <w:rsid w:val="00F379DE"/>
    <w:rsid w:val="00F4411B"/>
    <w:rsid w:val="00F52EE6"/>
    <w:rsid w:val="00F60ACD"/>
    <w:rsid w:val="00F707BF"/>
    <w:rsid w:val="00F770A2"/>
    <w:rsid w:val="00F91175"/>
    <w:rsid w:val="00F92653"/>
    <w:rsid w:val="00FB455B"/>
    <w:rsid w:val="047343F5"/>
    <w:rsid w:val="04D94B9F"/>
    <w:rsid w:val="0561333E"/>
    <w:rsid w:val="05C3236B"/>
    <w:rsid w:val="062D0592"/>
    <w:rsid w:val="065909ED"/>
    <w:rsid w:val="06907B34"/>
    <w:rsid w:val="0749102B"/>
    <w:rsid w:val="07A74835"/>
    <w:rsid w:val="0C6B2020"/>
    <w:rsid w:val="0C97166E"/>
    <w:rsid w:val="0CEF76F2"/>
    <w:rsid w:val="0DF72B8E"/>
    <w:rsid w:val="105D62EF"/>
    <w:rsid w:val="16E3480E"/>
    <w:rsid w:val="17CF299D"/>
    <w:rsid w:val="1873025B"/>
    <w:rsid w:val="1A552F51"/>
    <w:rsid w:val="1D2C0BEB"/>
    <w:rsid w:val="1E4A5D6E"/>
    <w:rsid w:val="1E8D27EC"/>
    <w:rsid w:val="1FC335BD"/>
    <w:rsid w:val="21176217"/>
    <w:rsid w:val="241C24D2"/>
    <w:rsid w:val="24AC5E86"/>
    <w:rsid w:val="25215D4A"/>
    <w:rsid w:val="28930457"/>
    <w:rsid w:val="2A8D3096"/>
    <w:rsid w:val="2BB53743"/>
    <w:rsid w:val="2DD461B9"/>
    <w:rsid w:val="2DD66AA1"/>
    <w:rsid w:val="31DA36F9"/>
    <w:rsid w:val="34975396"/>
    <w:rsid w:val="34D24592"/>
    <w:rsid w:val="3A9F2325"/>
    <w:rsid w:val="3D9910E3"/>
    <w:rsid w:val="3DA73195"/>
    <w:rsid w:val="3DB868D1"/>
    <w:rsid w:val="3E6F78DB"/>
    <w:rsid w:val="3FBE44C2"/>
    <w:rsid w:val="43035755"/>
    <w:rsid w:val="461F68EC"/>
    <w:rsid w:val="47D73A1D"/>
    <w:rsid w:val="48580610"/>
    <w:rsid w:val="488A4EC3"/>
    <w:rsid w:val="49806108"/>
    <w:rsid w:val="4C5F21E2"/>
    <w:rsid w:val="52C8787D"/>
    <w:rsid w:val="536C2A87"/>
    <w:rsid w:val="556E3DBC"/>
    <w:rsid w:val="57884177"/>
    <w:rsid w:val="5846521D"/>
    <w:rsid w:val="5B2566A4"/>
    <w:rsid w:val="62793C9D"/>
    <w:rsid w:val="64481FE3"/>
    <w:rsid w:val="64934D4C"/>
    <w:rsid w:val="67E27EFC"/>
    <w:rsid w:val="68F93288"/>
    <w:rsid w:val="69BF50D0"/>
    <w:rsid w:val="6A044DBB"/>
    <w:rsid w:val="6AF45AEA"/>
    <w:rsid w:val="6FC25F34"/>
    <w:rsid w:val="7463267F"/>
    <w:rsid w:val="791974F6"/>
    <w:rsid w:val="7DDB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framePr w:wrap="around" w:vAnchor="margin" w:hAnchor="text" w:y="1"/>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 w:type="paragraph" w:styleId="3">
    <w:name w:val="header"/>
    <w:basedOn w:val="1"/>
    <w:link w:val="14"/>
    <w:qFormat/>
    <w:uiPriority w:val="0"/>
    <w:pPr>
      <w:framePr w:wrap="around"/>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framePr w:wrap="around"/>
    </w:pPr>
    <w:rPr>
      <w:sz w:val="24"/>
    </w:rPr>
  </w:style>
  <w:style w:type="character" w:styleId="7">
    <w:name w:val="Strong"/>
    <w:basedOn w:val="6"/>
    <w:qFormat/>
    <w:uiPriority w:val="0"/>
    <w:rPr>
      <w:b/>
    </w:rPr>
  </w:style>
  <w:style w:type="character" w:styleId="8">
    <w:name w:val="Hyperlink"/>
    <w:qFormat/>
    <w:uiPriority w:val="0"/>
    <w:rPr>
      <w:u w:val="single"/>
    </w:rPr>
  </w:style>
  <w:style w:type="paragraph" w:customStyle="1" w:styleId="9">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3">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4">
    <w:name w:val="页眉 字符"/>
    <w:basedOn w:val="6"/>
    <w:link w:val="3"/>
    <w:qFormat/>
    <w:uiPriority w:val="0"/>
    <w:rPr>
      <w:rFonts w:ascii="Arial Unicode MS" w:hAnsi="Arial Unicode MS" w:eastAsia="Times New Roman" w:cs="Arial Unicode MS"/>
      <w:color w:val="000000"/>
      <w:kern w:val="2"/>
      <w:sz w:val="18"/>
      <w:szCs w:val="18"/>
      <w:u w:color="000000"/>
    </w:rPr>
  </w:style>
  <w:style w:type="paragraph" w:customStyle="1" w:styleId="15">
    <w:name w:val="列表段落1"/>
    <w:basedOn w:val="1"/>
    <w:qFormat/>
    <w:uiPriority w:val="99"/>
    <w:pPr>
      <w:framePr w:wrap="around"/>
      <w:ind w:firstLine="420" w:firstLineChars="200"/>
    </w:pPr>
  </w:style>
  <w:style w:type="paragraph" w:customStyle="1" w:styleId="16">
    <w:name w:val="段落"/>
    <w:qFormat/>
    <w:uiPriority w:val="0"/>
    <w:pPr>
      <w:autoSpaceDE w:val="0"/>
      <w:autoSpaceDN w:val="0"/>
      <w:ind w:firstLine="420" w:firstLineChars="200"/>
    </w:pPr>
    <w:rPr>
      <w:rFonts w:ascii="宋体" w:hAnsi="Times New Roman" w:eastAsia="宋体" w:cs="Times New Roman"/>
      <w:sz w:val="21"/>
      <w:szCs w:val="21"/>
      <w:lang w:val="en-US" w:eastAsia="zh-CN" w:bidi="ar-SA"/>
    </w:rPr>
  </w:style>
  <w:style w:type="paragraph" w:customStyle="1" w:styleId="17">
    <w:name w:val="Revision"/>
    <w:hidden/>
    <w:unhideWhenUsed/>
    <w:qFormat/>
    <w:uiPriority w:val="99"/>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3173</Words>
  <Characters>3260</Characters>
  <Lines>23</Lines>
  <Paragraphs>6</Paragraphs>
  <TotalTime>0</TotalTime>
  <ScaleCrop>false</ScaleCrop>
  <LinksUpToDate>false</LinksUpToDate>
  <CharactersWithSpaces>3261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2019-03-19T02:01:00Z</dcterms:created>
  <dc:creator>HP</dc:creator>
  <cp:lastModifiedBy>紫嫣</cp:lastModifiedBy>
  <cp:lastPrinted>2019-06-17T03:57:00Z</cp:lastPrinted>
  <dcterms:modified xsi:type="dcterms:W3CDTF">2024-07-31T05:45:10Z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51096935E0B44A9CBBA99BEA9EBBA968_13</vt:lpwstr>
  </property>
</Properties>
</file>